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785" w:rsidRDefault="00096785" w:rsidP="00096785">
      <w:pPr>
        <w:jc w:val="center"/>
        <w:rPr>
          <w:rStyle w:val="t"/>
          <w:b/>
        </w:rPr>
      </w:pPr>
    </w:p>
    <w:p w:rsidR="00096785" w:rsidRDefault="00096785" w:rsidP="00096785">
      <w:pPr>
        <w:jc w:val="center"/>
        <w:rPr>
          <w:rStyle w:val="t"/>
          <w:b/>
        </w:rPr>
      </w:pPr>
    </w:p>
    <w:p w:rsidR="00096785" w:rsidRDefault="00096785" w:rsidP="00096785">
      <w:pPr>
        <w:jc w:val="center"/>
        <w:rPr>
          <w:rStyle w:val="t"/>
          <w:b/>
        </w:rPr>
      </w:pPr>
      <w:bookmarkStart w:id="0" w:name="_GoBack"/>
      <w:bookmarkEnd w:id="0"/>
    </w:p>
    <w:p w:rsidR="00096785" w:rsidRDefault="00096785" w:rsidP="00096785">
      <w:pPr>
        <w:jc w:val="center"/>
        <w:rPr>
          <w:rStyle w:val="t"/>
          <w:b/>
        </w:rPr>
      </w:pPr>
    </w:p>
    <w:p w:rsidR="00096785" w:rsidRDefault="00096785" w:rsidP="00096785">
      <w:pPr>
        <w:jc w:val="center"/>
        <w:rPr>
          <w:rStyle w:val="t"/>
          <w:b/>
        </w:rPr>
      </w:pPr>
    </w:p>
    <w:p w:rsidR="00096785" w:rsidRDefault="00096785" w:rsidP="00096785">
      <w:pPr>
        <w:jc w:val="center"/>
        <w:rPr>
          <w:rStyle w:val="t"/>
          <w:b/>
        </w:rPr>
      </w:pPr>
      <w:r>
        <w:rPr>
          <w:rStyle w:val="t"/>
          <w:b/>
        </w:rPr>
        <w:t xml:space="preserve">WACC and Capital Budgeting </w:t>
      </w:r>
    </w:p>
    <w:p w:rsidR="00096785" w:rsidRDefault="00096785" w:rsidP="00096785">
      <w:pPr>
        <w:jc w:val="center"/>
        <w:rPr>
          <w:rStyle w:val="t"/>
          <w:b/>
        </w:rPr>
      </w:pPr>
      <w:r>
        <w:rPr>
          <w:rStyle w:val="t"/>
          <w:b/>
        </w:rPr>
        <w:t>Name</w:t>
      </w:r>
    </w:p>
    <w:p w:rsidR="00096785" w:rsidRDefault="00096785" w:rsidP="00096785">
      <w:pPr>
        <w:jc w:val="center"/>
        <w:rPr>
          <w:rStyle w:val="t"/>
          <w:b/>
        </w:rPr>
      </w:pPr>
      <w:r>
        <w:rPr>
          <w:rStyle w:val="t"/>
          <w:b/>
        </w:rPr>
        <w:t>Professor</w:t>
      </w:r>
    </w:p>
    <w:p w:rsidR="00096785" w:rsidRDefault="00096785" w:rsidP="00096785">
      <w:pPr>
        <w:jc w:val="center"/>
        <w:rPr>
          <w:rStyle w:val="t"/>
          <w:b/>
        </w:rPr>
      </w:pPr>
      <w:r>
        <w:rPr>
          <w:rStyle w:val="t"/>
          <w:b/>
        </w:rPr>
        <w:t>Course</w:t>
      </w:r>
    </w:p>
    <w:p w:rsidR="00096785" w:rsidRDefault="00096785" w:rsidP="00096785">
      <w:pPr>
        <w:jc w:val="center"/>
        <w:rPr>
          <w:rStyle w:val="t"/>
          <w:b/>
        </w:rPr>
      </w:pPr>
      <w:r>
        <w:rPr>
          <w:rStyle w:val="t"/>
          <w:b/>
        </w:rPr>
        <w:t>Date</w:t>
      </w:r>
    </w:p>
    <w:p w:rsidR="00096785" w:rsidRDefault="00096785">
      <w:pPr>
        <w:rPr>
          <w:rStyle w:val="t"/>
          <w:b/>
        </w:rPr>
      </w:pPr>
      <w:r>
        <w:rPr>
          <w:rStyle w:val="t"/>
          <w:b/>
        </w:rPr>
        <w:br w:type="page"/>
      </w:r>
    </w:p>
    <w:p w:rsidR="005035BB" w:rsidRDefault="005035BB">
      <w:pPr>
        <w:rPr>
          <w:rStyle w:val="t"/>
          <w:b/>
        </w:rPr>
      </w:pPr>
    </w:p>
    <w:p w:rsidR="00966B28" w:rsidRPr="00E969A4" w:rsidRDefault="00E969A4">
      <w:pPr>
        <w:rPr>
          <w:rStyle w:val="t"/>
          <w:b/>
        </w:rPr>
      </w:pPr>
      <w:r w:rsidRPr="00E969A4">
        <w:rPr>
          <w:rStyle w:val="t"/>
          <w:b/>
        </w:rPr>
        <w:t xml:space="preserve">Rosa Company </w:t>
      </w:r>
    </w:p>
    <w:p w:rsidR="00E969A4" w:rsidRPr="00E969A4" w:rsidRDefault="00E969A4">
      <w:pPr>
        <w:rPr>
          <w:rStyle w:val="t"/>
          <w:b/>
        </w:rPr>
      </w:pPr>
      <w:r w:rsidRPr="00E969A4">
        <w:rPr>
          <w:rStyle w:val="t"/>
          <w:b/>
        </w:rPr>
        <w:t>E: Summary and Recommendation</w:t>
      </w:r>
    </w:p>
    <w:p w:rsidR="00E969A4" w:rsidRDefault="00E969A4">
      <w:pPr>
        <w:rPr>
          <w:rStyle w:val="t"/>
        </w:rPr>
      </w:pPr>
      <w:r>
        <w:rPr>
          <w:rStyle w:val="t"/>
        </w:rPr>
        <w:t xml:space="preserve">Both projects A and B are acceptable </w:t>
      </w:r>
      <w:proofErr w:type="spellStart"/>
      <w:r>
        <w:rPr>
          <w:rStyle w:val="t"/>
        </w:rPr>
        <w:t>ince</w:t>
      </w:r>
      <w:proofErr w:type="spellEnd"/>
      <w:r>
        <w:rPr>
          <w:rStyle w:val="t"/>
        </w:rPr>
        <w:t xml:space="preserve"> they both have the same payback periods of 3 years, have positive NPVs, with equivalent IRRs that are greater than the cost of initial capital.</w:t>
      </w:r>
    </w:p>
    <w:p w:rsidR="00E969A4" w:rsidRDefault="00E969A4">
      <w:pPr>
        <w:rPr>
          <w:rStyle w:val="t"/>
        </w:rPr>
      </w:pPr>
      <w:r>
        <w:rPr>
          <w:rStyle w:val="t"/>
        </w:rPr>
        <w:t xml:space="preserve">Whereas Project B seems </w:t>
      </w:r>
      <w:proofErr w:type="gramStart"/>
      <w:r>
        <w:rPr>
          <w:rStyle w:val="t"/>
        </w:rPr>
        <w:t>to a</w:t>
      </w:r>
      <w:proofErr w:type="gramEnd"/>
      <w:r>
        <w:rPr>
          <w:rStyle w:val="t"/>
        </w:rPr>
        <w:t xml:space="preserve"> higher IRRs than project A, the rates are closer. </w:t>
      </w:r>
    </w:p>
    <w:p w:rsidR="00E969A4" w:rsidRDefault="00E969A4">
      <w:pPr>
        <w:rPr>
          <w:rStyle w:val="t"/>
        </w:rPr>
      </w:pPr>
      <w:r>
        <w:rPr>
          <w:rStyle w:val="t"/>
        </w:rPr>
        <w:t>However, Project A is recommendable because it has a higher NPV than Project B.</w:t>
      </w:r>
    </w:p>
    <w:p w:rsidR="00966B28" w:rsidRDefault="00966B28">
      <w:pPr>
        <w:rPr>
          <w:rStyle w:val="t"/>
        </w:rPr>
      </w:pPr>
    </w:p>
    <w:p w:rsidR="00987D65" w:rsidRDefault="00987D65">
      <w:pPr>
        <w:rPr>
          <w:rStyle w:val="t"/>
        </w:rPr>
      </w:pPr>
    </w:p>
    <w:p w:rsidR="00987D65" w:rsidRDefault="00987D65">
      <w:pPr>
        <w:rPr>
          <w:rStyle w:val="t"/>
        </w:rPr>
      </w:pPr>
    </w:p>
    <w:p w:rsidR="00966B28" w:rsidRPr="00E969A4" w:rsidRDefault="00987D65">
      <w:pPr>
        <w:rPr>
          <w:rStyle w:val="t"/>
          <w:b/>
        </w:rPr>
      </w:pPr>
      <w:r w:rsidRPr="00E969A4">
        <w:rPr>
          <w:rStyle w:val="t"/>
          <w:b/>
        </w:rPr>
        <w:t>WACC</w:t>
      </w:r>
      <w:r w:rsidR="00E969A4" w:rsidRPr="00E969A4">
        <w:rPr>
          <w:rStyle w:val="t"/>
          <w:b/>
        </w:rPr>
        <w:t xml:space="preserve"> and Target Weights: Dexter Brothers</w:t>
      </w:r>
    </w:p>
    <w:p w:rsidR="00987D65" w:rsidRDefault="00966B28">
      <w:r>
        <w:rPr>
          <w:rStyle w:val="t"/>
        </w:rPr>
        <w:t xml:space="preserve">C. Analysis of findings </w:t>
      </w:r>
    </w:p>
    <w:p w:rsidR="00987D65" w:rsidRDefault="00987D65">
      <w:r>
        <w:rPr>
          <w:rStyle w:val="t"/>
        </w:rPr>
        <w:t>The d</w:t>
      </w:r>
      <w:r w:rsidR="00966B28">
        <w:rPr>
          <w:rStyle w:val="t"/>
        </w:rPr>
        <w:t>ifference in weight of Long term deb</w:t>
      </w:r>
      <w:r>
        <w:rPr>
          <w:rStyle w:val="t"/>
        </w:rPr>
        <w:t xml:space="preserve">t and preferred stock in both </w:t>
      </w:r>
      <w:r w:rsidR="00966B28">
        <w:rPr>
          <w:rStyle w:val="t"/>
        </w:rPr>
        <w:t>target</w:t>
      </w:r>
      <w:r>
        <w:rPr>
          <w:rStyle w:val="t"/>
        </w:rPr>
        <w:t xml:space="preserve"> and historical</w:t>
      </w:r>
      <w:r w:rsidR="00966B28">
        <w:rPr>
          <w:rStyle w:val="t"/>
        </w:rPr>
        <w:t xml:space="preserve"> market weights</w:t>
      </w:r>
      <w:r>
        <w:rPr>
          <w:rStyle w:val="t"/>
        </w:rPr>
        <w:t xml:space="preserve"> is not so wide</w:t>
      </w:r>
      <w:r w:rsidR="00966B28">
        <w:rPr>
          <w:rStyle w:val="t"/>
        </w:rPr>
        <w:t xml:space="preserve">. However, </w:t>
      </w:r>
      <w:r>
        <w:rPr>
          <w:rStyle w:val="t"/>
        </w:rPr>
        <w:t>a</w:t>
      </w:r>
      <w:r w:rsidR="00966B28">
        <w:rPr>
          <w:rStyle w:val="t"/>
        </w:rPr>
        <w:t xml:space="preserve"> significant difference</w:t>
      </w:r>
      <w:r>
        <w:rPr>
          <w:rStyle w:val="t"/>
        </w:rPr>
        <w:t xml:space="preserve"> can be noted</w:t>
      </w:r>
      <w:r w:rsidR="00966B28">
        <w:rPr>
          <w:rStyle w:val="t"/>
        </w:rPr>
        <w:t xml:space="preserve"> in weight of</w:t>
      </w:r>
      <w:r w:rsidR="00966B28">
        <w:t xml:space="preserve"> </w:t>
      </w:r>
      <w:r w:rsidR="00966B28">
        <w:rPr>
          <w:rStyle w:val="t"/>
        </w:rPr>
        <w:t xml:space="preserve">common stock </w:t>
      </w:r>
      <w:r>
        <w:rPr>
          <w:rStyle w:val="t"/>
        </w:rPr>
        <w:t>(</w:t>
      </w:r>
      <w:r w:rsidR="00966B28">
        <w:rPr>
          <w:rStyle w:val="t"/>
        </w:rPr>
        <w:t>0.65</w:t>
      </w:r>
      <w:r>
        <w:rPr>
          <w:rStyle w:val="t"/>
        </w:rPr>
        <w:t xml:space="preserve">) in historical weights compared to that </w:t>
      </w:r>
      <w:r w:rsidR="00966B28">
        <w:rPr>
          <w:rStyle w:val="t"/>
        </w:rPr>
        <w:t>target market weights</w:t>
      </w:r>
      <w:r>
        <w:rPr>
          <w:rStyle w:val="t"/>
        </w:rPr>
        <w:t xml:space="preserve"> (0.55). Implication: </w:t>
      </w:r>
      <w:r w:rsidR="00966B28">
        <w:rPr>
          <w:rStyle w:val="t"/>
        </w:rPr>
        <w:t xml:space="preserve">the cost of capital is </w:t>
      </w:r>
      <w:r>
        <w:rPr>
          <w:rStyle w:val="t"/>
        </w:rPr>
        <w:t xml:space="preserve">thereby </w:t>
      </w:r>
      <w:r w:rsidR="00966B28">
        <w:rPr>
          <w:rStyle w:val="t"/>
        </w:rPr>
        <w:t xml:space="preserve">higher using historical </w:t>
      </w:r>
      <w:r>
        <w:rPr>
          <w:rStyle w:val="t"/>
        </w:rPr>
        <w:t>than</w:t>
      </w:r>
      <w:r w:rsidR="00966B28">
        <w:rPr>
          <w:rStyle w:val="t"/>
        </w:rPr>
        <w:t xml:space="preserve"> target market</w:t>
      </w:r>
      <w:r w:rsidR="00966B28">
        <w:t xml:space="preserve"> </w:t>
      </w:r>
      <w:r w:rsidR="00966B28">
        <w:rPr>
          <w:rStyle w:val="t"/>
        </w:rPr>
        <w:t>weights.</w:t>
      </w:r>
    </w:p>
    <w:sectPr w:rsidR="00987D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B28"/>
    <w:rsid w:val="00096785"/>
    <w:rsid w:val="000E4971"/>
    <w:rsid w:val="005035BB"/>
    <w:rsid w:val="00893196"/>
    <w:rsid w:val="00966B28"/>
    <w:rsid w:val="00987D65"/>
    <w:rsid w:val="00E9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966B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966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2018-06-02T18:37:00Z</dcterms:created>
  <dcterms:modified xsi:type="dcterms:W3CDTF">2018-06-02T18:37:00Z</dcterms:modified>
</cp:coreProperties>
</file>